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TMC4671基于硬件FOC伺服电机控制芯片适应BLDC/PMSM</w:t>
      </w:r>
      <w:r>
        <w:rPr>
          <w:rFonts w:hint="eastAsia" w:asciiTheme="minorEastAsia" w:hAnsiTheme="minorEastAsia"/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</w:rPr>
        <w:t>两相步进</w:t>
      </w:r>
      <w:r>
        <w:rPr>
          <w:rFonts w:hint="eastAsia" w:asciiTheme="minorEastAsia" w:hAnsiTheme="minorEastAsia"/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</w:rPr>
        <w:t>直流有刷</w:t>
      </w:r>
      <w:r>
        <w:rPr>
          <w:rFonts w:hint="eastAsia" w:asciiTheme="minorEastAsia" w:hAnsiTheme="minorEastAsia"/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</w:rPr>
        <w:t>音圈电机</w:t>
      </w:r>
      <w:bookmarkEnd w:id="0"/>
    </w:p>
    <w:p>
      <w:pPr>
        <w:rPr>
          <w:rFonts w:hint="eastAsia" w:eastAsiaTheme="minor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标题二：硬件FOC伺服控制芯片TMC4617适应永磁同步伺服/直流无刷伺服/直流有刷伺服/闭环步进/音圈电机</w:t>
      </w:r>
    </w:p>
    <w:p>
      <w:pPr>
        <w:rPr>
          <w:b/>
          <w:i/>
          <w:sz w:val="24"/>
          <w:szCs w:val="24"/>
        </w:rPr>
      </w:pPr>
      <w:r>
        <w:rPr>
          <w:rFonts w:hint="eastAsia"/>
          <w:b/>
          <w:i/>
          <w:sz w:val="24"/>
          <w:szCs w:val="24"/>
        </w:rPr>
        <w:t>全球领先的嵌入式运动控制公司德国TRINAMIC MOTION CONTROL 将于近期推出其最新的伺服控制芯片TMC4671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TMC4671是一款完全集成伺服控制芯片，为直流无刷电机</w:t>
      </w:r>
      <w:r>
        <w:rPr>
          <w:rFonts w:hint="eastAsia" w:asciiTheme="minorEastAsia" w:hAnsiTheme="minorEastAsia"/>
          <w:sz w:val="24"/>
          <w:szCs w:val="24"/>
        </w:rPr>
        <w:t>、永磁同步电机、2相步进电机、直流有刷电机和音圈电机提供磁场定向控制。</w:t>
      </w:r>
    </w:p>
    <w:p>
      <w:pPr>
        <w:rPr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所有的控制功能都被集成在硬件上。集成了ADCs、位置传感器接口、位置差值器，该款功能齐全的伺服控制器，适用于各种伺服应用。</w:t>
      </w:r>
    </w:p>
    <w:p>
      <w:r>
        <w:drawing>
          <wp:inline distT="0" distB="0" distL="0" distR="0">
            <wp:extent cx="3674745" cy="2208530"/>
            <wp:effectExtent l="1905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4745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655310" cy="1569720"/>
            <wp:effectExtent l="19050" t="0" r="2491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4588" cy="156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rPr>
          <w:sz w:val="24"/>
          <w:szCs w:val="24"/>
        </w:rPr>
      </w:pPr>
      <w:r>
        <w:rPr>
          <w:rFonts w:hint="eastAsia"/>
          <w:b/>
          <w:sz w:val="30"/>
          <w:szCs w:val="30"/>
        </w:rPr>
        <w:t>功能简介：</w:t>
      </w:r>
    </w:p>
    <w:p>
      <w:pPr>
        <w:pStyle w:val="1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伺服控制芯片、空间磁场矢量控制（FOC）</w:t>
      </w:r>
    </w:p>
    <w:p>
      <w:pPr>
        <w:pStyle w:val="1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转矩控制</w:t>
      </w:r>
      <w:r>
        <w:rPr>
          <w:rFonts w:hint="eastAsia"/>
          <w:sz w:val="24"/>
          <w:szCs w:val="24"/>
        </w:rPr>
        <w:t>（FOC）、速度控制、位置控制</w:t>
      </w:r>
    </w:p>
    <w:p>
      <w:pPr>
        <w:pStyle w:val="1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前馈控制输入</w:t>
      </w:r>
    </w:p>
    <w:p>
      <w:pPr>
        <w:pStyle w:val="1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集成ADCs、前端</w:t>
      </w:r>
      <w:r>
        <w:rPr>
          <w:rFonts w:hint="eastAsia" w:cs="CMR10" w:asciiTheme="minorEastAsia" w:hAnsiTheme="minorEastAsia"/>
          <w:kern w:val="0"/>
          <w:szCs w:val="21"/>
        </w:rPr>
        <w:t>△∑</w:t>
      </w:r>
      <w:r>
        <w:rPr>
          <w:rFonts w:ascii="OpenSans" w:hAnsi="OpenSans" w:cs="OpenSans"/>
          <w:kern w:val="0"/>
          <w:szCs w:val="21"/>
        </w:rPr>
        <w:t>ADCs</w:t>
      </w:r>
    </w:p>
    <w:p>
      <w:pPr>
        <w:pStyle w:val="1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编码器引擎：模拟和数字霍尔、模拟和数字编码器</w:t>
      </w:r>
    </w:p>
    <w:p>
      <w:pPr>
        <w:pStyle w:val="1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支持三相直流无刷伺服和永磁同步伺服电机、2相步进伺服电机、直流有刷和音圈电机</w:t>
      </w:r>
    </w:p>
    <w:p>
      <w:pPr>
        <w:pStyle w:val="1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先进的PWM引擎（25KHz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100KHz）</w:t>
      </w:r>
    </w:p>
    <w:p>
      <w:pPr>
        <w:pStyle w:val="1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应用程序SPI+调试（UART、SPI）</w:t>
      </w:r>
    </w:p>
    <w:p>
      <w:pPr>
        <w:pStyle w:val="1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脉冲/方向接口</w:t>
      </w:r>
    </w:p>
    <w:p>
      <w:pPr>
        <w:ind w:left="135"/>
        <w:rPr>
          <w:sz w:val="24"/>
          <w:szCs w:val="24"/>
        </w:rPr>
      </w:pPr>
    </w:p>
    <w:p>
      <w:pPr>
        <w:ind w:left="135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0" distR="0">
            <wp:extent cx="5984875" cy="2484120"/>
            <wp:effectExtent l="19050" t="0" r="0" b="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4127" cy="248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性能描述：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●带有磁场矢量控制（FOC）的伺服控制芯片</w:t>
      </w:r>
    </w:p>
    <w:p>
      <w:pPr>
        <w:ind w:firstLine="6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- 转矩控制模式</w:t>
      </w:r>
    </w:p>
    <w:p>
      <w:pPr>
        <w:ind w:firstLine="6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- 速度控制模式</w:t>
      </w:r>
    </w:p>
    <w:p>
      <w:pPr>
        <w:ind w:firstLine="6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- 位置控制模式</w:t>
      </w:r>
    </w:p>
    <w:p>
      <w:pPr>
        <w:ind w:left="870" w:leftChars="300" w:hanging="240" w:hangingChars="1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- 电流控制刷新频率和最大的PWM频率为100KHz (速度和位置控制的刷新频率可以根据当前电流刷新频率的倍数配置)</w:t>
      </w:r>
    </w:p>
    <w:p>
      <w:pPr>
        <w:ind w:left="870" w:leftChars="300" w:hanging="240" w:hangingChars="100"/>
        <w:rPr>
          <w:sz w:val="24"/>
          <w:szCs w:val="24"/>
        </w:rPr>
      </w:pP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ascii="Arial" w:hAnsi="Arial" w:cs="Arial"/>
          <w:color w:val="222222"/>
          <w:sz w:val="24"/>
          <w:szCs w:val="24"/>
        </w:rPr>
        <w:t>控制功能/ PI控制器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中期结果的输入和输出可编程斩波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以积分电路结尾保护所有控制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可编程的电压循环向导限制器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</w:t>
      </w:r>
      <w:r>
        <w:rPr>
          <w:rFonts w:ascii="Arial" w:hAnsi="Arial" w:cs="Arial"/>
          <w:color w:val="222222"/>
          <w:sz w:val="24"/>
          <w:szCs w:val="24"/>
        </w:rPr>
        <w:t>目标值的前馈补偿和前馈摩擦补偿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</w:t>
      </w:r>
      <w:r>
        <w:rPr>
          <w:rFonts w:ascii="Arial" w:hAnsi="Arial" w:cs="Arial"/>
          <w:color w:val="222222"/>
          <w:sz w:val="24"/>
          <w:szCs w:val="24"/>
        </w:rPr>
        <w:t>高级前馈控制结构，实现最佳轨迹跟踪性能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扩展的中断请求掩蔽选项和</w:t>
      </w:r>
      <w:r>
        <w:rPr>
          <w:rFonts w:ascii="Arial" w:hAnsi="Arial" w:cs="Arial"/>
          <w:color w:val="222222"/>
          <w:sz w:val="24"/>
          <w:szCs w:val="24"/>
        </w:rPr>
        <w:t>限制器状态寄存器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</w:t>
      </w:r>
      <w:r>
        <w:rPr>
          <w:rFonts w:ascii="Arial" w:hAnsi="Arial" w:cs="Arial"/>
          <w:color w:val="222222"/>
          <w:sz w:val="24"/>
          <w:szCs w:val="24"/>
        </w:rPr>
        <w:t>具有霍尔传感器或/和最小移动的高级编码器初始化算法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运动</w:t>
      </w:r>
      <w:r>
        <w:rPr>
          <w:rFonts w:ascii="Arial" w:hAnsi="Arial" w:cs="Arial"/>
          <w:color w:val="222222"/>
          <w:sz w:val="24"/>
          <w:szCs w:val="24"/>
        </w:rPr>
        <w:t>控制和坡形控制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- </w:t>
      </w:r>
      <w:r>
        <w:rPr>
          <w:rFonts w:ascii="Arial" w:hAnsi="Arial" w:cs="Arial"/>
          <w:color w:val="222222"/>
          <w:sz w:val="24"/>
          <w:szCs w:val="24"/>
        </w:rPr>
        <w:t>控制结构的梯形速度斜坡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脉冲/方向接口 方便定位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支持的电机种类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FOC3：三相永磁同步伺服电机（PMSM）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FOC2:两相步进电机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DC1:直流有刷电机或直线的音圈电机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ascii="Arial" w:hAnsi="Arial" w:cs="Arial"/>
          <w:color w:val="222222"/>
          <w:sz w:val="24"/>
          <w:szCs w:val="24"/>
        </w:rPr>
        <w:t>具有偏移校正和缩放功能的ADC引擎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- 集成</w:t>
      </w:r>
      <w:r>
        <w:rPr>
          <w:rFonts w:hint="eastAsia" w:cs="CMR10" w:asciiTheme="minorEastAsia" w:hAnsiTheme="minorEastAsia"/>
          <w:kern w:val="0"/>
          <w:sz w:val="24"/>
          <w:szCs w:val="24"/>
        </w:rPr>
        <w:t>△∑</w:t>
      </w:r>
      <w:r>
        <w:rPr>
          <w:rFonts w:ascii="OpenSans" w:hAnsi="OpenSans" w:cs="OpenSans"/>
          <w:kern w:val="0"/>
          <w:sz w:val="24"/>
          <w:szCs w:val="24"/>
        </w:rPr>
        <w:t>ADCs用于</w:t>
      </w:r>
      <w:r>
        <w:rPr>
          <w:rFonts w:ascii="Arial" w:hAnsi="Arial" w:cs="Arial"/>
          <w:color w:val="222222"/>
          <w:sz w:val="24"/>
          <w:szCs w:val="24"/>
        </w:rPr>
        <w:t>电流检测电压，电机电源电压，模拟编码器</w:t>
      </w:r>
    </w:p>
    <w:p>
      <w:pPr>
        <w:rPr>
          <w:rFonts w:cs="CMR10" w:asciiTheme="minorEastAsia" w:hAnsiTheme="minorEastAsia"/>
          <w:kern w:val="0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 </w:t>
      </w:r>
      <w:r>
        <w:rPr>
          <w:rFonts w:hint="eastAsia" w:asciiTheme="minorEastAsia" w:hAnsiTheme="minorEastAsia"/>
          <w:sz w:val="24"/>
          <w:szCs w:val="24"/>
        </w:rPr>
        <w:t>- 集成</w:t>
      </w:r>
      <w:r>
        <w:rPr>
          <w:rFonts w:hint="eastAsia" w:cs="CMR10" w:asciiTheme="minorEastAsia" w:hAnsiTheme="minorEastAsia"/>
          <w:kern w:val="0"/>
          <w:sz w:val="24"/>
          <w:szCs w:val="24"/>
        </w:rPr>
        <w:t>△∑</w:t>
      </w:r>
      <w:r>
        <w:rPr>
          <w:rFonts w:hint="eastAsia" w:ascii="OpenSans" w:hAnsi="OpenSans" w:cs="OpenSans"/>
          <w:kern w:val="0"/>
          <w:sz w:val="24"/>
          <w:szCs w:val="24"/>
        </w:rPr>
        <w:t>接口</w:t>
      </w:r>
      <w:r>
        <w:rPr>
          <w:rFonts w:ascii="OpenSans" w:hAnsi="OpenSans" w:cs="OpenSans"/>
          <w:kern w:val="0"/>
          <w:sz w:val="24"/>
          <w:szCs w:val="24"/>
        </w:rPr>
        <w:t>用于外部</w:t>
      </w:r>
      <w:r>
        <w:rPr>
          <w:rFonts w:hint="eastAsia" w:cs="CMR10" w:asciiTheme="minorEastAsia" w:hAnsiTheme="minorEastAsia"/>
          <w:kern w:val="0"/>
          <w:sz w:val="24"/>
          <w:szCs w:val="24"/>
        </w:rPr>
        <w:t>△∑调节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位置</w:t>
      </w:r>
      <w:r>
        <w:rPr>
          <w:rFonts w:ascii="Arial" w:hAnsi="Arial" w:cs="Arial"/>
          <w:color w:val="222222"/>
          <w:sz w:val="24"/>
          <w:szCs w:val="24"/>
        </w:rPr>
        <w:t>反馈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开环位置发生器（可编程的PRM,RPM/S）用于初始化配置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 - 数字增量编码器（ABN,ABZ 高达5MHz）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>- 第二路数字量编码器输入（双反馈）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>- 数字霍尔输入接口带有临时位置插补功能</w:t>
      </w:r>
      <w:r>
        <w:rPr>
          <w:rFonts w:ascii="OpenSans" w:hAnsi="OpenSans" w:cs="OpenSans"/>
          <w:kern w:val="0"/>
          <w:sz w:val="20"/>
          <w:szCs w:val="20"/>
        </w:rPr>
        <w:t>(H</w:t>
      </w:r>
      <w:r>
        <w:rPr>
          <w:rFonts w:ascii="CMR7" w:hAnsi="CMR7" w:cs="CMR7"/>
          <w:kern w:val="0"/>
          <w:sz w:val="14"/>
          <w:szCs w:val="14"/>
        </w:rPr>
        <w:t>1</w:t>
      </w:r>
      <w:r>
        <w:rPr>
          <w:rFonts w:ascii="OpenSans" w:hAnsi="OpenSans" w:cs="OpenSans"/>
          <w:kern w:val="0"/>
          <w:sz w:val="20"/>
          <w:szCs w:val="20"/>
        </w:rPr>
        <w:t>, H</w:t>
      </w:r>
      <w:r>
        <w:rPr>
          <w:rFonts w:ascii="CMR7" w:hAnsi="CMR7" w:cs="CMR7"/>
          <w:kern w:val="0"/>
          <w:sz w:val="14"/>
          <w:szCs w:val="14"/>
        </w:rPr>
        <w:t>2</w:t>
      </w:r>
      <w:r>
        <w:rPr>
          <w:rFonts w:ascii="OpenSans" w:hAnsi="OpenSans" w:cs="OpenSans"/>
          <w:kern w:val="0"/>
          <w:sz w:val="20"/>
          <w:szCs w:val="20"/>
        </w:rPr>
        <w:t>, H</w:t>
      </w:r>
      <w:r>
        <w:rPr>
          <w:rFonts w:ascii="CMR7" w:hAnsi="CMR7" w:cs="CMR7"/>
          <w:kern w:val="0"/>
          <w:sz w:val="14"/>
          <w:szCs w:val="14"/>
        </w:rPr>
        <w:t xml:space="preserve">3 </w:t>
      </w:r>
      <w:r>
        <w:rPr>
          <w:rFonts w:ascii="OpenSans" w:hAnsi="OpenSans" w:cs="OpenSans"/>
          <w:kern w:val="0"/>
          <w:sz w:val="20"/>
          <w:szCs w:val="20"/>
        </w:rPr>
        <w:t>resp. H</w:t>
      </w:r>
      <w:r>
        <w:rPr>
          <w:rFonts w:ascii="CMMI7" w:hAnsi="CMMI7" w:cs="CMMI7"/>
          <w:kern w:val="0"/>
          <w:sz w:val="14"/>
          <w:szCs w:val="14"/>
        </w:rPr>
        <w:t>U</w:t>
      </w:r>
      <w:r>
        <w:rPr>
          <w:rFonts w:ascii="OpenSans" w:hAnsi="OpenSans" w:cs="OpenSans"/>
          <w:kern w:val="0"/>
          <w:sz w:val="20"/>
          <w:szCs w:val="20"/>
        </w:rPr>
        <w:t>, H</w:t>
      </w:r>
      <w:r>
        <w:rPr>
          <w:rFonts w:ascii="CMMI7" w:hAnsi="CMMI7" w:cs="CMMI7"/>
          <w:kern w:val="0"/>
          <w:sz w:val="14"/>
          <w:szCs w:val="14"/>
        </w:rPr>
        <w:t xml:space="preserve">V </w:t>
      </w:r>
      <w:r>
        <w:rPr>
          <w:rFonts w:ascii="OpenSans" w:hAnsi="OpenSans" w:cs="OpenSans"/>
          <w:kern w:val="0"/>
          <w:sz w:val="20"/>
          <w:szCs w:val="20"/>
        </w:rPr>
        <w:t>, H</w:t>
      </w:r>
      <w:r>
        <w:rPr>
          <w:rFonts w:ascii="CMMI7" w:hAnsi="CMMI7" w:cs="CMMI7"/>
          <w:kern w:val="0"/>
          <w:sz w:val="14"/>
          <w:szCs w:val="14"/>
        </w:rPr>
        <w:t>W</w:t>
      </w:r>
      <w:r>
        <w:rPr>
          <w:rFonts w:ascii="OpenSans" w:hAnsi="OpenSans" w:cs="OpenSans"/>
          <w:kern w:val="0"/>
          <w:sz w:val="20"/>
          <w:szCs w:val="20"/>
        </w:rPr>
        <w:t>)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>- 模拟量编码器/模拟量霍尔输入接口</w:t>
      </w:r>
      <w:r>
        <w:rPr>
          <w:rFonts w:ascii="OpenSans" w:hAnsi="OpenSans" w:cs="OpenSans"/>
          <w:kern w:val="0"/>
          <w:sz w:val="20"/>
          <w:szCs w:val="20"/>
        </w:rPr>
        <w:t>(SinCos (0Â°, 90Â°) or 0Â°, 120Â°, 240Â°)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>- 多圈位置计数器（32位）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>- 目标位置、速度和目标转矩滤波（双阶）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PWM包括SVPWM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- 可编程的PWM频率范围从20KHz-100KHzn 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>- 可编程的BBM(Brake-Before-Make)时间（偏低，偏高）</w:t>
      </w:r>
      <w:r>
        <w:rPr>
          <w:rFonts w:ascii="OpenSans" w:hAnsi="OpenSans" w:cs="OpenSans"/>
          <w:kern w:val="0"/>
          <w:sz w:val="24"/>
          <w:szCs w:val="24"/>
        </w:rPr>
        <w:t>0 ns . . . 2.5</w:t>
      </w:r>
      <w:r>
        <w:rPr>
          <w:rFonts w:ascii="CMMI10" w:hAnsi="CMMI10" w:cs="CMMI10"/>
          <w:kern w:val="0"/>
          <w:sz w:val="24"/>
          <w:szCs w:val="24"/>
        </w:rPr>
        <w:t>_</w:t>
      </w:r>
      <w:r>
        <w:rPr>
          <w:rFonts w:ascii="OpenSans" w:hAnsi="OpenSans" w:cs="OpenSans"/>
          <w:kern w:val="0"/>
          <w:sz w:val="24"/>
          <w:szCs w:val="24"/>
        </w:rPr>
        <w:t>s在</w:t>
      </w:r>
      <w:r>
        <w:rPr>
          <w:rFonts w:hint="eastAsia" w:ascii="OpenSans" w:hAnsi="OpenSans" w:cs="OpenSans"/>
          <w:kern w:val="0"/>
          <w:sz w:val="24"/>
          <w:szCs w:val="24"/>
        </w:rPr>
        <w:t>10ns步骤内和栅极驱动输入信号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- </w:t>
      </w:r>
      <w:r>
        <w:rPr>
          <w:rFonts w:hint="eastAsia"/>
          <w:sz w:val="24"/>
          <w:szCs w:val="24"/>
        </w:rPr>
        <w:t>PWM自动调整，用于运动期间改变PWM频率</w:t>
      </w:r>
    </w:p>
    <w:p>
      <w:pPr>
        <w:rPr>
          <w:rFonts w:ascii="Arial" w:hAnsi="Arial" w:cs="Arial"/>
          <w:color w:val="222222"/>
          <w:sz w:val="24"/>
          <w:szCs w:val="24"/>
        </w:rPr>
      </w:pP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SPI通讯接口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- </w:t>
      </w:r>
      <w:r>
        <w:rPr>
          <w:rFonts w:hint="eastAsia"/>
          <w:sz w:val="24"/>
          <w:szCs w:val="24"/>
        </w:rPr>
        <w:t>40位数据长度（1个ReadWrite位+7个地址位+32个数据位）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 - </w:t>
      </w:r>
      <w:r>
        <w:rPr>
          <w:rFonts w:hint="eastAsia"/>
          <w:sz w:val="24"/>
          <w:szCs w:val="24"/>
        </w:rPr>
        <w:t>立即SPI读取响应（通过单个数据报进行寄存器读取访问）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- SPI时钟频率高达1 MHz（未来版本为8 MHz）</w:t>
      </w:r>
    </w:p>
    <w:p>
      <w:pPr>
        <w:ind w:firstLine="480" w:firstLineChars="200"/>
        <w:rPr>
          <w:rFonts w:ascii="Arial" w:hAnsi="Arial" w:cs="Arial"/>
          <w:color w:val="222222"/>
          <w:sz w:val="24"/>
          <w:szCs w:val="24"/>
        </w:rPr>
      </w:pP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TRINAMIC实时监控接口（SPI Master）</w:t>
      </w:r>
    </w:p>
    <w:p>
      <w:pPr>
        <w:rPr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   - </w:t>
      </w:r>
      <w:r>
        <w:rPr>
          <w:rFonts w:hint="eastAsia"/>
          <w:sz w:val="24"/>
          <w:szCs w:val="24"/>
        </w:rPr>
        <w:t>通过TRINAMIC的实时监控系统实现实时数据高频采样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 w:ascii="Arial" w:hAnsi="Arial" w:cs="Arial"/>
          <w:color w:val="222222"/>
          <w:sz w:val="24"/>
          <w:szCs w:val="24"/>
        </w:rPr>
        <w:t xml:space="preserve">- </w:t>
      </w:r>
      <w:r>
        <w:rPr>
          <w:rStyle w:val="15"/>
          <w:rFonts w:hint="eastAsia"/>
          <w:sz w:val="24"/>
          <w:szCs w:val="24"/>
        </w:rPr>
        <w:t>需要PCB上的单个10针高密度连接器</w:t>
      </w:r>
    </w:p>
    <w:p>
      <w:pPr>
        <w:ind w:left="480" w:hanging="480" w:hanging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</w:t>
      </w:r>
      <w:r>
        <w:rPr>
          <w:rFonts w:hint="eastAsia" w:ascii="Arial" w:hAnsi="Arial" w:cs="Arial"/>
          <w:color w:val="222222"/>
          <w:sz w:val="24"/>
          <w:szCs w:val="24"/>
        </w:rPr>
        <w:t xml:space="preserve">- </w:t>
      </w:r>
      <w:r>
        <w:rPr>
          <w:rFonts w:hint="eastAsia"/>
          <w:sz w:val="24"/>
          <w:szCs w:val="24"/>
        </w:rPr>
        <w:t>高级控制器通过频率响应识别和高级自动调谐支持使用TRINAMIC IDE调整选项</w:t>
      </w:r>
      <w:r>
        <w:rPr>
          <w:rFonts w:hint="eastAsia" w:asciiTheme="minorEastAsia" w:hAnsiTheme="minorEastAsia"/>
          <w:sz w:val="24"/>
          <w:szCs w:val="24"/>
        </w:rPr>
        <w:t xml:space="preserve">  </w:t>
      </w:r>
    </w:p>
    <w:p>
      <w:pPr>
        <w:ind w:left="135"/>
        <w:rPr>
          <w:sz w:val="24"/>
          <w:szCs w:val="24"/>
        </w:rPr>
      </w:pP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UART调试接口</w:t>
      </w:r>
    </w:p>
    <w:p>
      <w:pPr>
        <w:ind w:left="135"/>
        <w:rPr>
          <w:rFonts w:ascii="OpenSans" w:hAnsi="OpenSans" w:cs="OpenSans"/>
          <w:kern w:val="0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 xml:space="preserve">- </w:t>
      </w:r>
      <w:r>
        <w:rPr>
          <w:rFonts w:hint="eastAsia"/>
          <w:sz w:val="24"/>
          <w:szCs w:val="24"/>
        </w:rPr>
        <w:t>3引脚</w:t>
      </w:r>
      <w:r>
        <w:rPr>
          <w:rFonts w:ascii="OpenSans" w:hAnsi="OpenSans" w:cs="OpenSans"/>
          <w:kern w:val="0"/>
          <w:sz w:val="24"/>
          <w:szCs w:val="24"/>
        </w:rPr>
        <w:t>(GND, RxD, TxD)</w:t>
      </w:r>
      <w:r>
        <w:rPr>
          <w:rFonts w:hint="eastAsia" w:ascii="OpenSans" w:hAnsi="OpenSans" w:cs="OpenSans"/>
          <w:kern w:val="0"/>
          <w:sz w:val="24"/>
          <w:szCs w:val="24"/>
        </w:rPr>
        <w:t xml:space="preserve"> 3.3V  UART接口</w:t>
      </w:r>
      <w:r>
        <w:rPr>
          <w:rFonts w:ascii="OpenSans" w:hAnsi="OpenSans" w:cs="OpenSans"/>
          <w:kern w:val="0"/>
          <w:sz w:val="24"/>
          <w:szCs w:val="24"/>
        </w:rPr>
        <w:t>(1N8; 9600 (default), 115200, 921600, or 3M bps)</w:t>
      </w:r>
    </w:p>
    <w:p>
      <w:pPr>
        <w:ind w:left="135"/>
        <w:rPr>
          <w:sz w:val="24"/>
          <w:szCs w:val="24"/>
        </w:rPr>
      </w:pPr>
      <w:r>
        <w:rPr>
          <w:rFonts w:hint="eastAsia" w:ascii="OpenSans" w:hAnsi="OpenSans" w:cs="OpenSans"/>
          <w:kern w:val="0"/>
          <w:sz w:val="24"/>
          <w:szCs w:val="24"/>
        </w:rPr>
        <w:t xml:space="preserve">- </w:t>
      </w:r>
      <w:r>
        <w:rPr>
          <w:rFonts w:hint="eastAsia"/>
          <w:sz w:val="24"/>
          <w:szCs w:val="24"/>
        </w:rPr>
        <w:t>简易寄存器访问并行于嵌入式用户应用程序接口（SPI）</w:t>
      </w:r>
    </w:p>
    <w:p>
      <w:pPr>
        <w:rPr>
          <w:sz w:val="24"/>
          <w:szCs w:val="24"/>
        </w:rPr>
      </w:pP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供电电压：5V和3.3V;1.8V的VCC_CORE由内部产生</w:t>
      </w:r>
    </w:p>
    <w:p>
      <w:pPr>
        <w:rPr>
          <w:rFonts w:ascii="Arial" w:hAnsi="Arial" w:cs="Arial"/>
          <w:color w:val="222222"/>
          <w:sz w:val="24"/>
          <w:szCs w:val="24"/>
        </w:rPr>
      </w:pP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IO电压：3.3V用于所有的数字I/O（可由VCCIO选择提供）；5V插分模拟量输入范围，3V为单端输入范围</w:t>
      </w:r>
    </w:p>
    <w:p>
      <w:pPr>
        <w:rPr>
          <w:rFonts w:ascii="Arial" w:hAnsi="Arial" w:cs="Arial"/>
          <w:color w:val="222222"/>
          <w:sz w:val="24"/>
          <w:szCs w:val="24"/>
        </w:rPr>
      </w:pP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时钟频率：25MHz(需要外部振荡器)</w:t>
      </w:r>
    </w:p>
    <w:p>
      <w:pPr>
        <w:rPr>
          <w:rFonts w:ascii="Arial" w:hAnsi="Arial" w:cs="Arial"/>
          <w:color w:val="222222"/>
          <w:sz w:val="24"/>
          <w:szCs w:val="24"/>
        </w:rPr>
      </w:pP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●</w:t>
      </w:r>
      <w:r>
        <w:rPr>
          <w:rFonts w:hint="eastAsia" w:ascii="Arial" w:hAnsi="Arial" w:cs="Arial"/>
          <w:color w:val="222222"/>
          <w:sz w:val="24"/>
          <w:szCs w:val="24"/>
        </w:rPr>
        <w:t>封装：QFN76</w:t>
      </w:r>
    </w:p>
    <w:p>
      <w:pPr>
        <w:rPr>
          <w:rFonts w:ascii="Arial" w:hAnsi="Arial" w:cs="Arial"/>
          <w:color w:val="222222"/>
          <w:sz w:val="24"/>
          <w:szCs w:val="24"/>
        </w:rPr>
      </w:pPr>
      <w:r>
        <w:rPr>
          <w:rFonts w:hint="eastAsia" w:ascii="Arial" w:hAnsi="Arial" w:cs="Arial"/>
          <w:color w:val="222222"/>
          <w:sz w:val="24"/>
          <w:szCs w:val="24"/>
        </w:rPr>
        <w:t>T</w:t>
      </w:r>
      <w:r>
        <w:rPr>
          <w:rFonts w:ascii="Arial" w:hAnsi="Arial" w:cs="Arial"/>
          <w:color w:val="222222"/>
          <w:sz w:val="24"/>
          <w:szCs w:val="24"/>
        </w:rPr>
        <w:t>MC4671</w:t>
      </w:r>
      <w:r>
        <w:rPr>
          <w:rFonts w:hint="eastAsia" w:ascii="Arial" w:hAnsi="Arial" w:cs="Arial"/>
          <w:color w:val="222222"/>
          <w:sz w:val="24"/>
          <w:szCs w:val="24"/>
        </w:rPr>
        <w:t>控制步进电机，直流无刷伺服，永磁同步，音圈电机接线</w:t>
      </w:r>
    </w:p>
    <w:p>
      <w:r>
        <w:drawing>
          <wp:inline distT="0" distB="0" distL="0" distR="0">
            <wp:extent cx="5274310" cy="389826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5947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6868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TMC4671控制PMSM永磁同步伺服电机视频：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"https://v.youku.com/v_show/id_XMzgwOTU0OTEwOA==.html"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8"/>
          <w:rFonts w:hint="eastAsia"/>
          <w:lang w:val="en-US" w:eastAsia="zh-CN"/>
        </w:rPr>
        <w:t>https://v.youku.com/v_show/id_XMzgwOTU0OTEwOA==.html</w:t>
      </w:r>
      <w:r>
        <w:rPr>
          <w:rFonts w:hint="eastAsia"/>
          <w:lang w:val="en-US" w:eastAsia="zh-CN"/>
        </w:rPr>
        <w:fldChar w:fldCharType="end"/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TMC4671控制闭环步进电机高速同步视频：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"https://v.qq.com/x/page/f0645ei67yt.html?"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8"/>
          <w:rFonts w:hint="eastAsia"/>
          <w:lang w:val="en-US" w:eastAsia="zh-CN"/>
        </w:rPr>
        <w:t>https://v.qq.com/x/page/f0645ei67yt.html?</w:t>
      </w:r>
      <w:r>
        <w:rPr>
          <w:rFonts w:hint="eastAsia"/>
          <w:lang w:val="en-US" w:eastAsia="zh-CN"/>
        </w:rPr>
        <w:fldChar w:fldCharType="end"/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TMC4671控制MAXON直流有刷伺服电机视频：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"https://v.qq.com/x/page/x0780mp7qa3.html?"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8"/>
          <w:rFonts w:hint="eastAsia"/>
          <w:lang w:val="en-US" w:eastAsia="zh-CN"/>
        </w:rPr>
        <w:t>https://v.qq.com/x/page/x0780mp7qa3.html?</w:t>
      </w:r>
      <w:r>
        <w:rPr>
          <w:rFonts w:hint="eastAsia"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501140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开发板：</w:t>
      </w:r>
      <w:r>
        <w:rPr>
          <w:sz w:val="24"/>
          <w:szCs w:val="24"/>
        </w:rPr>
        <w:t>Landungsbrücke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“Landungsbrücke”是您的计算机和Trinamic芯片解决方案之间的连接。只需连接所需的电路板组合，并开始发现Trinamic的独特功能。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Landungsbrücke的核心是飞思卡尔MK20皮质M4处理器。单个固件设计涵盖了Trinamic评估系统的所有评估板。用户可以下载最新版本，修改固件或创建自己的固件，并通过USB轻松更新。Landungsbrücke的核心是飞思卡尔MK20皮质M4处理器。 单个固件设计涵盖了Trinamic评估系统的所有评估板。 用户可以下载最新版本，修改固件或创建自己的固件，并通过USB轻松更新。 该代码是开源的下载。详情登陆：</w:t>
      </w:r>
      <w:r>
        <w:fldChar w:fldCharType="begin"/>
      </w:r>
      <w:r>
        <w:instrText xml:space="preserve"> HYPERLINK "https://www.trinamic.com/support/eval-kits/details/landungsbruecke/" </w:instrText>
      </w:r>
      <w:r>
        <w:fldChar w:fldCharType="separate"/>
      </w:r>
      <w:r>
        <w:rPr>
          <w:rStyle w:val="9"/>
          <w:sz w:val="24"/>
          <w:szCs w:val="24"/>
        </w:rPr>
        <w:t>https://www.trinamic.com/support/eval-kits/details/landungsbruecke/</w:t>
      </w:r>
      <w:r>
        <w:rPr>
          <w:rStyle w:val="9"/>
          <w:sz w:val="24"/>
          <w:szCs w:val="24"/>
        </w:rPr>
        <w:fldChar w:fldCharType="end"/>
      </w:r>
    </w:p>
    <w:p>
      <w:pPr>
        <w:jc w:val="left"/>
        <w:rPr>
          <w:sz w:val="24"/>
          <w:szCs w:val="24"/>
        </w:rPr>
      </w:pPr>
    </w:p>
    <w:p>
      <w:pPr>
        <w:pStyle w:val="5"/>
        <w:shd w:val="clear" w:color="auto" w:fill="FFFFFF"/>
        <w:spacing w:before="0" w:beforeAutospacing="0" w:after="0" w:afterAutospacing="0" w:line="384" w:lineRule="atLeast"/>
        <w:ind w:firstLine="480"/>
        <w:rPr>
          <w:rFonts w:ascii="Helvetica" w:hAnsi="Helvetica" w:cs="Helvetica"/>
          <w:sz w:val="21"/>
          <w:szCs w:val="21"/>
        </w:rPr>
      </w:pPr>
      <w:r>
        <w:rPr>
          <w:rStyle w:val="7"/>
          <w:rFonts w:hint="eastAsia" w:cs="Helvetica"/>
          <w:spacing w:val="8"/>
          <w:sz w:val="21"/>
          <w:szCs w:val="21"/>
        </w:rPr>
        <w:t>关于Trinamic</w:t>
      </w:r>
    </w:p>
    <w:p>
      <w:pPr>
        <w:pStyle w:val="5"/>
        <w:shd w:val="clear" w:color="auto" w:fill="FFFFFF"/>
        <w:spacing w:before="0" w:beforeAutospacing="0" w:after="0" w:afterAutospacing="0" w:line="384" w:lineRule="atLeast"/>
        <w:ind w:firstLine="48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pacing w:val="8"/>
          <w:sz w:val="21"/>
          <w:szCs w:val="21"/>
        </w:rPr>
        <w:t>Trinamic是嵌入式电机和运动控制领域的全球领导者。主要产品包括专用运动控制集成芯片，智能电机驱动器和嵌入式微系统。 Trinamic的工程师拥有数十年的经验，擅长解决现实问题，致力于为3D打印，桌面制造，医疗设备，实验室自动化和监控摄像头等领域设计解决方案。</w:t>
      </w:r>
    </w:p>
    <w:p>
      <w:pPr>
        <w:pStyle w:val="5"/>
        <w:shd w:val="clear" w:color="auto" w:fill="FFFFFF"/>
        <w:spacing w:before="0" w:beforeAutospacing="0" w:after="0" w:afterAutospacing="0" w:line="384" w:lineRule="atLeast"/>
        <w:ind w:firstLine="48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pacing w:val="8"/>
          <w:sz w:val="21"/>
          <w:szCs w:val="21"/>
        </w:rPr>
        <w:t>该公司于2004年在德国成立，目前在爱沙尼亚塔林，美国芝加哥和中国上海设有分支机构</w:t>
      </w:r>
    </w:p>
    <w:p>
      <w:pPr>
        <w:pStyle w:val="5"/>
        <w:shd w:val="clear" w:color="auto" w:fill="FFFFFF"/>
        <w:spacing w:before="0" w:beforeAutospacing="0" w:after="0" w:afterAutospacing="0" w:line="384" w:lineRule="atLeast"/>
        <w:ind w:firstLine="48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pacing w:val="8"/>
          <w:sz w:val="21"/>
          <w:szCs w:val="21"/>
        </w:rPr>
        <w:t>有关Trinamic产品和技术的更多信息，</w:t>
      </w:r>
      <w:r>
        <w:fldChar w:fldCharType="begin"/>
      </w:r>
      <w:r>
        <w:instrText xml:space="preserve"> HYPERLINK "mailto:请咨询gao@trinamic.cn" </w:instrText>
      </w:r>
      <w:r>
        <w:fldChar w:fldCharType="separate"/>
      </w:r>
      <w:r>
        <w:rPr>
          <w:rStyle w:val="9"/>
          <w:rFonts w:ascii="Helvetica" w:hAnsi="Helvetica" w:cs="Helvetica"/>
          <w:spacing w:val="8"/>
          <w:sz w:val="21"/>
          <w:szCs w:val="21"/>
        </w:rPr>
        <w:t>请咨询</w:t>
      </w:r>
      <w:r>
        <w:rPr>
          <w:rStyle w:val="9"/>
          <w:rFonts w:hint="eastAsia" w:ascii="Helvetica" w:hAnsi="Helvetica" w:cs="Helvetica"/>
          <w:spacing w:val="8"/>
          <w:sz w:val="21"/>
          <w:szCs w:val="21"/>
        </w:rPr>
        <w:t>g</w:t>
      </w:r>
      <w:r>
        <w:rPr>
          <w:rStyle w:val="9"/>
          <w:rFonts w:ascii="Helvetica" w:hAnsi="Helvetica" w:cs="Helvetica"/>
          <w:spacing w:val="8"/>
          <w:sz w:val="21"/>
          <w:szCs w:val="21"/>
        </w:rPr>
        <w:t>ao@trinamic.cn</w:t>
      </w:r>
      <w:r>
        <w:rPr>
          <w:rStyle w:val="9"/>
          <w:rFonts w:ascii="Helvetica" w:hAnsi="Helvetica" w:cs="Helvetica"/>
          <w:spacing w:val="8"/>
          <w:sz w:val="21"/>
          <w:szCs w:val="21"/>
        </w:rPr>
        <w:fldChar w:fldCharType="end"/>
      </w:r>
      <w:r>
        <w:rPr>
          <w:rFonts w:ascii="Helvetica" w:hAnsi="Helvetica" w:cs="Helvetica"/>
          <w:spacing w:val="8"/>
          <w:sz w:val="21"/>
          <w:szCs w:val="21"/>
        </w:rPr>
        <w:t xml:space="preserve"> 13812617052。</w:t>
      </w:r>
    </w:p>
    <w:p>
      <w:pPr>
        <w:jc w:val="left"/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501140" cy="2294890"/>
            <wp:effectExtent l="419100" t="0" r="40386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01140" cy="229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MR1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Open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MR7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MMI7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MMI1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elvetica">
    <w:altName w:val="Sylfae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879E6"/>
    <w:multiLevelType w:val="multilevel"/>
    <w:tmpl w:val="532879E6"/>
    <w:lvl w:ilvl="0" w:tentative="0">
      <w:start w:val="0"/>
      <w:numFmt w:val="bullet"/>
      <w:lvlText w:val="-"/>
      <w:lvlJc w:val="left"/>
      <w:pPr>
        <w:ind w:left="495" w:hanging="360"/>
      </w:pPr>
      <w:rPr>
        <w:rFonts w:hint="default" w:ascii="Calibri" w:hAnsi="Calibri" w:cs="Calibri" w:eastAsiaTheme="minorEastAsia"/>
      </w:rPr>
    </w:lvl>
    <w:lvl w:ilvl="1" w:tentative="0">
      <w:start w:val="1"/>
      <w:numFmt w:val="bullet"/>
      <w:lvlText w:val=""/>
      <w:lvlJc w:val="left"/>
      <w:pPr>
        <w:ind w:left="97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9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1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3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5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7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9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15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0953"/>
    <w:rsid w:val="000B51CD"/>
    <w:rsid w:val="002423AC"/>
    <w:rsid w:val="003C5B78"/>
    <w:rsid w:val="003E250D"/>
    <w:rsid w:val="00483D71"/>
    <w:rsid w:val="00515E89"/>
    <w:rsid w:val="00535CC1"/>
    <w:rsid w:val="005B38DA"/>
    <w:rsid w:val="005C38A3"/>
    <w:rsid w:val="005D09A4"/>
    <w:rsid w:val="006623AA"/>
    <w:rsid w:val="00693F5B"/>
    <w:rsid w:val="00744500"/>
    <w:rsid w:val="00773138"/>
    <w:rsid w:val="007B7A2D"/>
    <w:rsid w:val="007C58B0"/>
    <w:rsid w:val="007E5313"/>
    <w:rsid w:val="00867E04"/>
    <w:rsid w:val="00893422"/>
    <w:rsid w:val="009151CA"/>
    <w:rsid w:val="00957BC0"/>
    <w:rsid w:val="00973B06"/>
    <w:rsid w:val="00A37E94"/>
    <w:rsid w:val="00A7574E"/>
    <w:rsid w:val="00AB46A4"/>
    <w:rsid w:val="00AE08E4"/>
    <w:rsid w:val="00B73371"/>
    <w:rsid w:val="00D87A9E"/>
    <w:rsid w:val="00DA7F91"/>
    <w:rsid w:val="00DB60F2"/>
    <w:rsid w:val="00E42C37"/>
    <w:rsid w:val="00F80953"/>
    <w:rsid w:val="06374635"/>
    <w:rsid w:val="514360CE"/>
    <w:rsid w:val="5489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11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字符"/>
    <w:basedOn w:val="6"/>
    <w:link w:val="3"/>
    <w:semiHidden/>
    <w:uiPriority w:val="99"/>
    <w:rPr>
      <w:sz w:val="18"/>
      <w:szCs w:val="18"/>
    </w:rPr>
  </w:style>
  <w:style w:type="character" w:customStyle="1" w:styleId="13">
    <w:name w:val="批注框文本 字符"/>
    <w:basedOn w:val="6"/>
    <w:link w:val="2"/>
    <w:semiHidden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short_text"/>
    <w:basedOn w:val="6"/>
    <w:uiPriority w:val="0"/>
  </w:style>
  <w:style w:type="character" w:customStyle="1" w:styleId="16">
    <w:name w:val="Unresolved Mention"/>
    <w:basedOn w:val="6"/>
    <w:semiHidden/>
    <w:unhideWhenUsed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387</Words>
  <Characters>2211</Characters>
  <Lines>18</Lines>
  <Paragraphs>5</Paragraphs>
  <TotalTime>9</TotalTime>
  <ScaleCrop>false</ScaleCrop>
  <LinksUpToDate>false</LinksUpToDate>
  <CharactersWithSpaces>2593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2018-03-31T13:46:00Z</dcterms:created>
  <dc:creator>0</dc:creator>
  <cp:lastModifiedBy>Gavy (TMC_CN)</cp:lastModifiedBy>
  <dcterms:modified xsi:type="dcterms:W3CDTF">2018-09-09T11:01:36Z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