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BA" w:rsidRPr="00B91051" w:rsidRDefault="000A792D" w:rsidP="008C7F82">
      <w:pPr>
        <w:widowControl/>
        <w:shd w:val="clear" w:color="auto" w:fill="FFFFFF"/>
        <w:spacing w:line="660" w:lineRule="atLeast"/>
        <w:jc w:val="center"/>
        <w:outlineLvl w:val="0"/>
        <w:rPr>
          <w:rFonts w:ascii="微软雅黑" w:eastAsia="微软雅黑" w:hAnsi="微软雅黑" w:cs="宋体"/>
          <w:b/>
          <w:bCs/>
          <w:color w:val="222222"/>
          <w:kern w:val="36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222222"/>
          <w:kern w:val="36"/>
          <w:sz w:val="30"/>
          <w:szCs w:val="30"/>
        </w:rPr>
        <w:t>光电式</w:t>
      </w:r>
      <w:bookmarkStart w:id="0" w:name="_GoBack"/>
      <w:r w:rsidR="006F2E63">
        <w:fldChar w:fldCharType="begin"/>
      </w:r>
      <w:r w:rsidR="006F2E63">
        <w:instrText xml:space="preserve"> HYPERLINK "http://www.eptsz.com/Products.aspx" </w:instrText>
      </w:r>
      <w:r w:rsidR="006F2E63">
        <w:fldChar w:fldCharType="separate"/>
      </w:r>
      <w:r w:rsidR="00205ACF">
        <w:rPr>
          <w:rStyle w:val="a7"/>
          <w:rFonts w:ascii="微软雅黑" w:eastAsia="微软雅黑" w:hAnsi="微软雅黑" w:cs="宋体" w:hint="eastAsia"/>
          <w:b/>
          <w:bCs/>
          <w:color w:val="000000" w:themeColor="text1"/>
          <w:kern w:val="36"/>
          <w:sz w:val="30"/>
          <w:szCs w:val="30"/>
          <w:u w:val="none"/>
        </w:rPr>
        <w:t>液</w:t>
      </w:r>
      <w:r w:rsidR="00B91051" w:rsidRPr="000A792D">
        <w:rPr>
          <w:rStyle w:val="a7"/>
          <w:rFonts w:ascii="微软雅黑" w:eastAsia="微软雅黑" w:hAnsi="微软雅黑" w:cs="宋体" w:hint="eastAsia"/>
          <w:b/>
          <w:bCs/>
          <w:color w:val="000000" w:themeColor="text1"/>
          <w:kern w:val="36"/>
          <w:sz w:val="30"/>
          <w:szCs w:val="30"/>
          <w:u w:val="none"/>
        </w:rPr>
        <w:t>位开关</w:t>
      </w:r>
      <w:r w:rsidR="006F2E63">
        <w:rPr>
          <w:rStyle w:val="a7"/>
          <w:rFonts w:ascii="微软雅黑" w:eastAsia="微软雅黑" w:hAnsi="微软雅黑" w:cs="宋体"/>
          <w:b/>
          <w:bCs/>
          <w:color w:val="000000" w:themeColor="text1"/>
          <w:kern w:val="36"/>
          <w:sz w:val="30"/>
          <w:szCs w:val="30"/>
          <w:u w:val="none"/>
        </w:rPr>
        <w:fldChar w:fldCharType="end"/>
      </w:r>
      <w:bookmarkEnd w:id="0"/>
      <w:r w:rsidR="00AA322C" w:rsidRPr="00B91051">
        <w:rPr>
          <w:rFonts w:ascii="微软雅黑" w:eastAsia="微软雅黑" w:hAnsi="微软雅黑" w:cs="宋体" w:hint="eastAsia"/>
          <w:b/>
          <w:bCs/>
          <w:color w:val="222222"/>
          <w:kern w:val="36"/>
          <w:sz w:val="30"/>
          <w:szCs w:val="30"/>
        </w:rPr>
        <w:t>的安装</w:t>
      </w:r>
      <w:r w:rsidR="00B91051">
        <w:rPr>
          <w:rFonts w:ascii="微软雅黑" w:eastAsia="微软雅黑" w:hAnsi="微软雅黑" w:cs="宋体" w:hint="eastAsia"/>
          <w:b/>
          <w:bCs/>
          <w:color w:val="222222"/>
          <w:kern w:val="36"/>
          <w:sz w:val="30"/>
          <w:szCs w:val="30"/>
        </w:rPr>
        <w:t>方法</w:t>
      </w:r>
      <w:r w:rsidR="008C7F82">
        <w:rPr>
          <w:rFonts w:ascii="微软雅黑" w:eastAsia="微软雅黑" w:hAnsi="微软雅黑" w:cs="宋体" w:hint="eastAsia"/>
          <w:b/>
          <w:bCs/>
          <w:color w:val="222222"/>
          <w:kern w:val="36"/>
          <w:sz w:val="30"/>
          <w:szCs w:val="30"/>
        </w:rPr>
        <w:t>简述</w:t>
      </w:r>
    </w:p>
    <w:p w:rsidR="00AA322C" w:rsidRDefault="00AA322C"/>
    <w:p w:rsidR="00B91051" w:rsidRDefault="00B91051" w:rsidP="00B91051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0A792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光电式水位开关是一种常见的水位开关，常常用于水位检测、水位控制，多用于家电行业、汽车、医疗设备等。光电式水位开关液位检测精度高可靠性高，稳定性强。且还有体积小、寿命长、清洗方便，不易积累水垢等优点</w:t>
      </w:r>
      <w:r w:rsidR="000A792D" w:rsidRPr="000A792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,也实现。且光电式水位开关即使在</w:t>
      </w:r>
      <w:proofErr w:type="gramStart"/>
      <w:r w:rsidR="000A792D" w:rsidRPr="000A792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脏污带</w:t>
      </w:r>
      <w:proofErr w:type="gramEnd"/>
      <w:r w:rsidR="000A792D" w:rsidRPr="000A792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杂质等</w:t>
      </w:r>
      <w:r w:rsidRPr="000A792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环境中也可以正常检测液位的变化，</w:t>
      </w:r>
      <w:r w:rsidR="00BE62C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因此</w:t>
      </w:r>
      <w:r w:rsidRPr="000A792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所以其应用广泛</w:t>
      </w:r>
      <w:r w:rsidRPr="00B91051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。</w:t>
      </w:r>
    </w:p>
    <w:p w:rsidR="00B91051" w:rsidRPr="00BE62C7" w:rsidRDefault="00B91051" w:rsidP="00B91051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</w:p>
    <w:p w:rsidR="00B91051" w:rsidRDefault="00B91051" w:rsidP="00B91051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B91051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那么光电式水位开关是如何安装进水箱中的呢，我们都知道，每一种电器、设备的产品设计结构都不一样，所以其水箱容器的结构也不一样。</w:t>
      </w:r>
    </w:p>
    <w:p w:rsidR="00B91051" w:rsidRDefault="00B91051" w:rsidP="00B91051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noProof/>
          <w:color w:val="222222"/>
          <w:kern w:val="0"/>
          <w:sz w:val="24"/>
          <w:szCs w:val="24"/>
        </w:rPr>
        <w:drawing>
          <wp:inline distT="0" distB="0" distL="0" distR="0" wp14:anchorId="2679438F" wp14:editId="15218C36">
            <wp:extent cx="5674659" cy="1749674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箱图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288" cy="175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051" w:rsidRDefault="00B91051" w:rsidP="00B91051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</w:p>
    <w:p w:rsidR="00B91051" w:rsidRPr="00B91051" w:rsidRDefault="00B91051" w:rsidP="00B91051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B91051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有很多电器里都是属于不规则水箱，举个例子，比如说咖啡机。</w:t>
      </w:r>
    </w:p>
    <w:p w:rsidR="00B91051" w:rsidRDefault="00B91051" w:rsidP="00B91051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noProof/>
          <w:color w:val="222222"/>
          <w:kern w:val="0"/>
          <w:sz w:val="24"/>
          <w:szCs w:val="24"/>
        </w:rPr>
        <w:lastRenderedPageBreak/>
        <w:drawing>
          <wp:inline distT="0" distB="0" distL="0" distR="0">
            <wp:extent cx="5007230" cy="1739153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不规则水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856" cy="174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051" w:rsidRPr="00B91051" w:rsidRDefault="00B91051" w:rsidP="00B91051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</w:p>
    <w:p w:rsidR="00B91051" w:rsidRPr="00B91051" w:rsidRDefault="00B91051" w:rsidP="00B91051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B91051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从上面我们可以看到水箱都是不规则水箱，那么像这类水箱，光电式水位开关该如何安装呢？浮球式水位开关只能上置、下置安装，而电容式水位开关只能置于底部、侧面安装检测。而光电式水位开关可以多方位安装，上置、下置、侧置，斜置等。</w:t>
      </w:r>
    </w:p>
    <w:p w:rsidR="00B91051" w:rsidRDefault="00B91051" w:rsidP="00B91051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noProof/>
          <w:color w:val="222222"/>
          <w:kern w:val="0"/>
          <w:sz w:val="24"/>
          <w:szCs w:val="24"/>
        </w:rPr>
        <w:drawing>
          <wp:inline distT="0" distB="0" distL="0" distR="0">
            <wp:extent cx="5853953" cy="1938162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电式液位传感器安装图片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699" cy="193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051" w:rsidRPr="00B91051" w:rsidRDefault="00B91051" w:rsidP="00B91051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</w:p>
    <w:p w:rsidR="00B91051" w:rsidRPr="00B91051" w:rsidRDefault="00B91051" w:rsidP="00B91051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B91051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光电式水位开关的</w:t>
      </w:r>
      <w:proofErr w:type="gramStart"/>
      <w:r w:rsidRPr="00B91051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的</w:t>
      </w:r>
      <w:proofErr w:type="gramEnd"/>
      <w:r w:rsidRPr="00B91051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缺点是不可以在阳光下或类似钨丝灯泡下使用，因为光电式水位开关</w:t>
      </w:r>
      <w:proofErr w:type="gramStart"/>
      <w:r w:rsidRPr="00B91051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式利用</w:t>
      </w:r>
      <w:proofErr w:type="gramEnd"/>
      <w:r w:rsidRPr="00B91051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红外线的反射原理进行检测的，阳光或钨丝灯泡的光线中包含有的红外线，会干扰光电式水位开关的检测结果。而光电式水位开关多样化的安装方式就可以有效避免这个问题，如将探头朝下等。</w:t>
      </w:r>
    </w:p>
    <w:p w:rsidR="00AA322C" w:rsidRPr="00B91051" w:rsidRDefault="00AA322C"/>
    <w:sectPr w:rsidR="00AA322C" w:rsidRPr="00B91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63" w:rsidRDefault="006F2E63" w:rsidP="00AA322C">
      <w:r>
        <w:separator/>
      </w:r>
    </w:p>
  </w:endnote>
  <w:endnote w:type="continuationSeparator" w:id="0">
    <w:p w:rsidR="006F2E63" w:rsidRDefault="006F2E63" w:rsidP="00AA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63" w:rsidRDefault="006F2E63" w:rsidP="00AA322C">
      <w:r>
        <w:separator/>
      </w:r>
    </w:p>
  </w:footnote>
  <w:footnote w:type="continuationSeparator" w:id="0">
    <w:p w:rsidR="006F2E63" w:rsidRDefault="006F2E63" w:rsidP="00AA3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C2"/>
    <w:rsid w:val="000A792D"/>
    <w:rsid w:val="00205ACF"/>
    <w:rsid w:val="005537BA"/>
    <w:rsid w:val="005938C2"/>
    <w:rsid w:val="006F2E63"/>
    <w:rsid w:val="00726471"/>
    <w:rsid w:val="00744B20"/>
    <w:rsid w:val="008C7F82"/>
    <w:rsid w:val="009B625D"/>
    <w:rsid w:val="00A20CB2"/>
    <w:rsid w:val="00AA322C"/>
    <w:rsid w:val="00B91051"/>
    <w:rsid w:val="00BE62C7"/>
    <w:rsid w:val="00CC3804"/>
    <w:rsid w:val="00F0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910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2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22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1051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B910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910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1051"/>
    <w:rPr>
      <w:sz w:val="18"/>
      <w:szCs w:val="18"/>
    </w:rPr>
  </w:style>
  <w:style w:type="character" w:styleId="a7">
    <w:name w:val="Hyperlink"/>
    <w:basedOn w:val="a0"/>
    <w:uiPriority w:val="99"/>
    <w:unhideWhenUsed/>
    <w:rsid w:val="009B62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910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2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22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1051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B910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910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1051"/>
    <w:rPr>
      <w:sz w:val="18"/>
      <w:szCs w:val="18"/>
    </w:rPr>
  </w:style>
  <w:style w:type="character" w:styleId="a7">
    <w:name w:val="Hyperlink"/>
    <w:basedOn w:val="a0"/>
    <w:uiPriority w:val="99"/>
    <w:unhideWhenUsed/>
    <w:rsid w:val="009B62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2148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</Words>
  <Characters>473</Characters>
  <Application>Microsoft Office Word</Application>
  <DocSecurity>0</DocSecurity>
  <Lines>3</Lines>
  <Paragraphs>1</Paragraphs>
  <ScaleCrop>false</ScaleCrop>
  <Company>微软中国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2018-09-27T02:20:00Z</dcterms:created>
  <dcterms:modified xsi:type="dcterms:W3CDTF">2019-01-09T07:17:00Z</dcterms:modified>
</cp:coreProperties>
</file>